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777C" w14:textId="77777777" w:rsidR="003601A4" w:rsidRDefault="003601A4" w:rsidP="00C66071">
      <w:pPr>
        <w:pStyle w:val="Ttulo2"/>
      </w:pPr>
      <w:r>
        <w:t>Ventos geram 42% da energia produzida na Dinamarca.</w:t>
      </w:r>
    </w:p>
    <w:p w14:paraId="6FC284DD" w14:textId="77777777" w:rsidR="00970919" w:rsidRDefault="003601A4" w:rsidP="00C66071">
      <w:r>
        <w:t xml:space="preserve">Em 2015, a Dinamarca bateu o recorde de geração de energia eólica: 42% da eletricidade produzida. Tudo bem que 2015 foi um ano especialmente cheio de ventanias no país, mas, desde 2008, a produção das turbinas aumenta a cada ano. </w:t>
      </w:r>
      <w:r w:rsidR="00970919" w:rsidRPr="00970919">
        <w:t xml:space="preserve">Em 2014, um ano em que os ventos foram considerados normais, o total foi de 39,1%. </w:t>
      </w:r>
      <w:r>
        <w:t xml:space="preserve">Ou seja: o sistema parece estar funcionando. </w:t>
      </w:r>
    </w:p>
    <w:p w14:paraId="6D009C19" w14:textId="1312D6AF" w:rsidR="003601A4" w:rsidRDefault="00970919" w:rsidP="00C66071">
      <w:r>
        <w:t xml:space="preserve">O mais impressionante é que, durante 60 dias do ano, algumas regiões do oeste do país foram capazes de produzir mais energia </w:t>
      </w:r>
      <w:proofErr w:type="spellStart"/>
      <w:r>
        <w:t>éolica</w:t>
      </w:r>
      <w:proofErr w:type="spellEnd"/>
      <w:r>
        <w:t xml:space="preserve"> do que conseguiam consumir. Em um dia de julho, com rajadas particularmente fortes, a Dinamarca produziu 140% da sua demanda elétrica só com as turbinas eólicas. O excesso (de energia, não de vento) foi vendido para a Alemanha, Noruega e Suécia. </w:t>
      </w:r>
      <w:r w:rsidR="003601A4">
        <w:t>(...)</w:t>
      </w:r>
    </w:p>
    <w:p w14:paraId="5740A768" w14:textId="79631FEC" w:rsidR="003601A4" w:rsidRDefault="003601A4" w:rsidP="00C66071">
      <w:pPr>
        <w:pStyle w:val="PargrafodaLista"/>
      </w:pPr>
      <w:r>
        <w:t>Disponível em &lt;https://tinyurl.com/</w:t>
      </w:r>
      <w:proofErr w:type="spellStart"/>
      <w:r>
        <w:t>VentosDinamarca</w:t>
      </w:r>
      <w:proofErr w:type="spellEnd"/>
      <w:r>
        <w:t>&gt;.</w:t>
      </w:r>
      <w:r w:rsidR="008C3A6F">
        <w:t xml:space="preserve"> </w:t>
      </w:r>
      <w:r>
        <w:t>Acesso em 17 de março de 2020.</w:t>
      </w:r>
    </w:p>
    <w:p w14:paraId="60BD7412" w14:textId="77777777" w:rsidR="00D763E7" w:rsidRPr="00D763E7" w:rsidRDefault="00D763E7" w:rsidP="00C66071"/>
    <w:p w14:paraId="66632DE0" w14:textId="57FDEC80" w:rsidR="003601A4" w:rsidRDefault="003601A4" w:rsidP="00C66071">
      <w:pPr>
        <w:pStyle w:val="Itens"/>
      </w:pPr>
      <w:r>
        <w:t>Cite três opções de produção de energia elétrica renovável e três opções de produção de energia elétrica não renovável.</w:t>
      </w:r>
      <w:bookmarkStart w:id="0" w:name="_GoBack"/>
      <w:bookmarkEnd w:id="0"/>
    </w:p>
    <w:p w14:paraId="4366C876" w14:textId="45A5C94B" w:rsidR="009F2839" w:rsidRPr="009F2839" w:rsidRDefault="008C3A6F" w:rsidP="008C3A6F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D249E" w14:textId="77777777" w:rsidR="003601A4" w:rsidRDefault="003601A4" w:rsidP="00C66071">
      <w:pPr>
        <w:pStyle w:val="Ttulo2"/>
      </w:pPr>
      <w:r>
        <w:t>Por que as baterias do celular são recarregáveis e as pilhas comuns não?</w:t>
      </w:r>
    </w:p>
    <w:p w14:paraId="77927CD0" w14:textId="3F7DF62D" w:rsidR="003601A4" w:rsidRDefault="003601A4" w:rsidP="00C66071">
      <w:r>
        <w:t>O princípio de funcionamento de toda bateria ou pilha é um troca-troca de elétrons entre dois compostos químicos que acaba por transformá-los em outras substâncias.</w:t>
      </w:r>
      <w:r w:rsidR="00970919" w:rsidRPr="00970919">
        <w:t xml:space="preserve"> </w:t>
      </w:r>
      <w:r w:rsidR="00970919">
        <w:t>A diferença entre as duas é que, no primeiro caso, a reação é reversível – isto é, os elementos podem voltar ao estado original. Nas pilhas comuns, a metamorfose é definitiva. As baterias de celular usam óxidos de níquel e de cádmio. (...) Depois de algum tempo, tanto um quanto o outro viram substâncias diferentes, o cádmio metálico e o dióxido de níquel. Quando a energia acaba, aplicando-se uma corrente elétrica no níquel, é possível forçá-lo a devolver os elétrons ao cádmio.</w:t>
      </w:r>
    </w:p>
    <w:p w14:paraId="14638929" w14:textId="439AF326" w:rsidR="003601A4" w:rsidRDefault="003601A4" w:rsidP="00C66071">
      <w:pPr>
        <w:pStyle w:val="PargrafodaLista"/>
      </w:pPr>
      <w:r>
        <w:t>Disponível em &lt;https://tinyurl.com/</w:t>
      </w:r>
      <w:proofErr w:type="spellStart"/>
      <w:r>
        <w:t>EnergiaVaiEVem</w:t>
      </w:r>
      <w:proofErr w:type="spellEnd"/>
      <w:r>
        <w:t>&gt;.</w:t>
      </w:r>
      <w:r w:rsidR="008C3A6F">
        <w:t xml:space="preserve"> </w:t>
      </w:r>
      <w:r>
        <w:t>Acesso em 17 de março de 2020.</w:t>
      </w:r>
    </w:p>
    <w:p w14:paraId="1E4946C6" w14:textId="77777777" w:rsidR="00D763E7" w:rsidRPr="00D763E7" w:rsidRDefault="00D763E7" w:rsidP="00C66071"/>
    <w:p w14:paraId="4991B978" w14:textId="04281798" w:rsidR="003601A4" w:rsidRDefault="003601A4" w:rsidP="00C66071">
      <w:pPr>
        <w:pStyle w:val="Itens"/>
      </w:pPr>
      <w:r>
        <w:t>Com o auxílio do seu livro de ciências descreva algumas características e propriedades do átomo e dos elétrons.</w:t>
      </w:r>
    </w:p>
    <w:p w14:paraId="5B5EF27E" w14:textId="4B0E3975" w:rsidR="003601A4" w:rsidRDefault="008C3A6F" w:rsidP="008C3A6F">
      <w:pPr>
        <w:ind w:firstLine="0"/>
        <w:sectPr w:rsidR="003601A4" w:rsidSect="00C66071">
          <w:headerReference w:type="default" r:id="rId8"/>
          <w:headerReference w:type="first" r:id="rId9"/>
          <w:pgSz w:w="11906" w:h="16838" w:code="9"/>
          <w:pgMar w:top="567" w:right="567" w:bottom="567" w:left="567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titlePg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F8E8F" w14:textId="1ABDFD39" w:rsidR="008C3A6F" w:rsidRDefault="008C3A6F" w:rsidP="008C3A6F">
      <w:pPr>
        <w:pStyle w:val="Ttulo1"/>
        <w:jc w:val="left"/>
        <w:rPr>
          <w:color w:val="FF0000"/>
        </w:rPr>
      </w:pPr>
      <w:r w:rsidRPr="008C3A6F">
        <w:rPr>
          <w:color w:val="FF0000"/>
        </w:rPr>
        <w:lastRenderedPageBreak/>
        <w:t>Gabarito</w:t>
      </w:r>
      <w:r>
        <w:rPr>
          <w:color w:val="FF0000"/>
        </w:rPr>
        <w:t>:</w:t>
      </w:r>
    </w:p>
    <w:p w14:paraId="55ECF59D" w14:textId="77777777" w:rsidR="008C3A6F" w:rsidRPr="008C3A6F" w:rsidRDefault="008C3A6F" w:rsidP="008C3A6F">
      <w:pPr>
        <w:pStyle w:val="Itens"/>
        <w:numPr>
          <w:ilvl w:val="0"/>
          <w:numId w:val="17"/>
        </w:numPr>
        <w:rPr>
          <w:color w:val="FF0000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8C3A6F" w:rsidRPr="008C3A6F" w14:paraId="5DA36AEA" w14:textId="77777777" w:rsidTr="003E5402">
        <w:tc>
          <w:tcPr>
            <w:tcW w:w="4815" w:type="dxa"/>
          </w:tcPr>
          <w:p w14:paraId="7E977700" w14:textId="77777777" w:rsidR="008C3A6F" w:rsidRPr="008C3A6F" w:rsidRDefault="008C3A6F" w:rsidP="003E5402">
            <w:pPr>
              <w:jc w:val="center"/>
              <w:rPr>
                <w:color w:val="FF0000"/>
              </w:rPr>
            </w:pPr>
            <w:r w:rsidRPr="008C3A6F">
              <w:rPr>
                <w:color w:val="FF0000"/>
              </w:rPr>
              <w:t>Renováveis</w:t>
            </w:r>
          </w:p>
        </w:tc>
        <w:tc>
          <w:tcPr>
            <w:tcW w:w="4678" w:type="dxa"/>
          </w:tcPr>
          <w:p w14:paraId="13BD3B94" w14:textId="77777777" w:rsidR="008C3A6F" w:rsidRPr="008C3A6F" w:rsidRDefault="008C3A6F" w:rsidP="003E5402">
            <w:pPr>
              <w:jc w:val="center"/>
              <w:rPr>
                <w:color w:val="FF0000"/>
              </w:rPr>
            </w:pPr>
            <w:proofErr w:type="gramStart"/>
            <w:r w:rsidRPr="008C3A6F">
              <w:rPr>
                <w:color w:val="FF0000"/>
              </w:rPr>
              <w:t>Não Renováveis</w:t>
            </w:r>
            <w:proofErr w:type="gramEnd"/>
          </w:p>
        </w:tc>
      </w:tr>
      <w:tr w:rsidR="008C3A6F" w:rsidRPr="008C3A6F" w14:paraId="6247C4FF" w14:textId="77777777" w:rsidTr="003E5402">
        <w:tc>
          <w:tcPr>
            <w:tcW w:w="4815" w:type="dxa"/>
          </w:tcPr>
          <w:p w14:paraId="61497E27" w14:textId="77777777" w:rsidR="008C3A6F" w:rsidRPr="008C3A6F" w:rsidRDefault="008C3A6F" w:rsidP="003E5402">
            <w:pPr>
              <w:rPr>
                <w:color w:val="FF0000"/>
              </w:rPr>
            </w:pPr>
            <w:r w:rsidRPr="008C3A6F">
              <w:rPr>
                <w:color w:val="FF0000"/>
              </w:rPr>
              <w:t>Eólica</w:t>
            </w:r>
          </w:p>
        </w:tc>
        <w:tc>
          <w:tcPr>
            <w:tcW w:w="4678" w:type="dxa"/>
          </w:tcPr>
          <w:p w14:paraId="5B7994A1" w14:textId="77777777" w:rsidR="008C3A6F" w:rsidRPr="008C3A6F" w:rsidRDefault="008C3A6F" w:rsidP="003E5402">
            <w:pPr>
              <w:rPr>
                <w:color w:val="FF0000"/>
              </w:rPr>
            </w:pPr>
            <w:r w:rsidRPr="008C3A6F">
              <w:rPr>
                <w:color w:val="FF0000"/>
              </w:rPr>
              <w:t>Termelétrica</w:t>
            </w:r>
          </w:p>
        </w:tc>
      </w:tr>
      <w:tr w:rsidR="008C3A6F" w:rsidRPr="008C3A6F" w14:paraId="43097570" w14:textId="77777777" w:rsidTr="003E5402">
        <w:tc>
          <w:tcPr>
            <w:tcW w:w="4815" w:type="dxa"/>
          </w:tcPr>
          <w:p w14:paraId="765D42AD" w14:textId="77777777" w:rsidR="008C3A6F" w:rsidRPr="008C3A6F" w:rsidRDefault="008C3A6F" w:rsidP="003E5402">
            <w:pPr>
              <w:rPr>
                <w:color w:val="FF0000"/>
              </w:rPr>
            </w:pPr>
            <w:r w:rsidRPr="008C3A6F">
              <w:rPr>
                <w:color w:val="FF0000"/>
              </w:rPr>
              <w:t>Solar</w:t>
            </w:r>
          </w:p>
        </w:tc>
        <w:tc>
          <w:tcPr>
            <w:tcW w:w="4678" w:type="dxa"/>
          </w:tcPr>
          <w:p w14:paraId="72D3D118" w14:textId="77777777" w:rsidR="008C3A6F" w:rsidRPr="008C3A6F" w:rsidRDefault="008C3A6F" w:rsidP="003E5402">
            <w:pPr>
              <w:rPr>
                <w:color w:val="FF0000"/>
              </w:rPr>
            </w:pPr>
            <w:r w:rsidRPr="008C3A6F">
              <w:rPr>
                <w:color w:val="FF0000"/>
              </w:rPr>
              <w:t>Nuclear</w:t>
            </w:r>
          </w:p>
        </w:tc>
      </w:tr>
      <w:tr w:rsidR="008C3A6F" w:rsidRPr="008C3A6F" w14:paraId="2032B67E" w14:textId="77777777" w:rsidTr="003E5402">
        <w:tc>
          <w:tcPr>
            <w:tcW w:w="4815" w:type="dxa"/>
          </w:tcPr>
          <w:p w14:paraId="5CEB1CEE" w14:textId="77777777" w:rsidR="008C3A6F" w:rsidRPr="008C3A6F" w:rsidRDefault="008C3A6F" w:rsidP="003E5402">
            <w:pPr>
              <w:rPr>
                <w:color w:val="FF0000"/>
              </w:rPr>
            </w:pPr>
            <w:r w:rsidRPr="008C3A6F">
              <w:rPr>
                <w:color w:val="FF0000"/>
              </w:rPr>
              <w:t>Hidrelétrica</w:t>
            </w:r>
          </w:p>
        </w:tc>
        <w:tc>
          <w:tcPr>
            <w:tcW w:w="4678" w:type="dxa"/>
          </w:tcPr>
          <w:p w14:paraId="42C1CF18" w14:textId="77777777" w:rsidR="008C3A6F" w:rsidRPr="008C3A6F" w:rsidRDefault="008C3A6F" w:rsidP="003E5402">
            <w:pPr>
              <w:rPr>
                <w:color w:val="FF0000"/>
              </w:rPr>
            </w:pPr>
            <w:r w:rsidRPr="008C3A6F">
              <w:rPr>
                <w:color w:val="FF0000"/>
              </w:rPr>
              <w:t>Combustíveis fósseis</w:t>
            </w:r>
          </w:p>
        </w:tc>
      </w:tr>
    </w:tbl>
    <w:p w14:paraId="548FD364" w14:textId="77777777" w:rsidR="008C3A6F" w:rsidRPr="008C3A6F" w:rsidRDefault="008C3A6F" w:rsidP="008C3A6F">
      <w:pPr>
        <w:pStyle w:val="Itens"/>
        <w:numPr>
          <w:ilvl w:val="0"/>
          <w:numId w:val="0"/>
        </w:numPr>
        <w:ind w:left="567"/>
        <w:rPr>
          <w:color w:val="FF0000"/>
        </w:rPr>
      </w:pPr>
      <w:r w:rsidRPr="008C3A6F">
        <w:rPr>
          <w:color w:val="FF0000"/>
        </w:rPr>
        <w:t>Outros exemplos são possíveis</w:t>
      </w:r>
    </w:p>
    <w:p w14:paraId="2CAD9871" w14:textId="0B03E9BF" w:rsidR="008C3A6F" w:rsidRPr="008C3A6F" w:rsidRDefault="008C3A6F" w:rsidP="008C3A6F">
      <w:pPr>
        <w:pStyle w:val="Itens"/>
        <w:numPr>
          <w:ilvl w:val="0"/>
          <w:numId w:val="17"/>
        </w:numPr>
        <w:tabs>
          <w:tab w:val="left" w:pos="1985"/>
        </w:tabs>
        <w:rPr>
          <w:color w:val="FF0000"/>
        </w:rPr>
      </w:pPr>
      <w:r w:rsidRPr="008C3A6F">
        <w:rPr>
          <w:color w:val="FF0000"/>
        </w:rPr>
        <w:t>Átomo é composto por prótons, nêutrons e elétrons. São a menor unidade da matéria.</w:t>
      </w:r>
    </w:p>
    <w:sectPr w:rsidR="008C3A6F" w:rsidRPr="008C3A6F" w:rsidSect="00FE10BD">
      <w:type w:val="continuous"/>
      <w:pgSz w:w="11906" w:h="16838" w:code="9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B19D" w14:textId="77777777" w:rsidR="000A0DF1" w:rsidRDefault="000A0DF1" w:rsidP="00C66071">
      <w:pPr>
        <w:spacing w:before="0" w:after="0" w:line="240" w:lineRule="auto"/>
      </w:pPr>
      <w:r>
        <w:separator/>
      </w:r>
    </w:p>
  </w:endnote>
  <w:endnote w:type="continuationSeparator" w:id="0">
    <w:p w14:paraId="2180C2C6" w14:textId="77777777" w:rsidR="000A0DF1" w:rsidRDefault="000A0DF1" w:rsidP="00C660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5562" w14:textId="77777777" w:rsidR="000A0DF1" w:rsidRDefault="000A0DF1" w:rsidP="00C66071">
      <w:pPr>
        <w:spacing w:before="0" w:after="0" w:line="240" w:lineRule="auto"/>
      </w:pPr>
      <w:r>
        <w:separator/>
      </w:r>
    </w:p>
  </w:footnote>
  <w:footnote w:type="continuationSeparator" w:id="0">
    <w:p w14:paraId="3CE483E7" w14:textId="77777777" w:rsidR="000A0DF1" w:rsidRDefault="000A0DF1" w:rsidP="00C660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CDDA" w14:textId="77777777" w:rsidR="00C66071" w:rsidRPr="00FE10BD" w:rsidRDefault="00C66071" w:rsidP="00FE10BD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horzAnchor="margin" w:tblpXSpec="center" w:tblpY="-134"/>
      <w:tblW w:w="10490" w:type="dxa"/>
      <w:tblLayout w:type="fixed"/>
      <w:tblLook w:val="04A0" w:firstRow="1" w:lastRow="0" w:firstColumn="1" w:lastColumn="0" w:noHBand="0" w:noVBand="1"/>
    </w:tblPr>
    <w:tblGrid>
      <w:gridCol w:w="1247"/>
      <w:gridCol w:w="1275"/>
      <w:gridCol w:w="5275"/>
      <w:gridCol w:w="2693"/>
    </w:tblGrid>
    <w:tr w:rsidR="00C66071" w:rsidRPr="002D74CB" w14:paraId="3D276FDE" w14:textId="77777777" w:rsidTr="005766C6">
      <w:trPr>
        <w:trHeight w:val="699"/>
      </w:trPr>
      <w:tc>
        <w:tcPr>
          <w:tcW w:w="10490" w:type="dxa"/>
          <w:gridSpan w:val="4"/>
        </w:tcPr>
        <w:p w14:paraId="340BA0E0" w14:textId="77777777" w:rsidR="00C66071" w:rsidRPr="00437677" w:rsidRDefault="00C66071" w:rsidP="00C66071">
          <w:pPr>
            <w:ind w:left="142"/>
            <w:jc w:val="center"/>
            <w:rPr>
              <w:b/>
              <w:bCs/>
            </w:rPr>
          </w:pPr>
          <w:r w:rsidRPr="00437677">
            <w:rPr>
              <w:noProof/>
            </w:rPr>
            <w:drawing>
              <wp:inline distT="0" distB="0" distL="0" distR="0" wp14:anchorId="4FB24104" wp14:editId="047512B2">
                <wp:extent cx="2057400" cy="747067"/>
                <wp:effectExtent l="0" t="0" r="0" b="0"/>
                <wp:docPr id="6" name="Gráfic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6071" w:rsidRPr="002D74CB" w14:paraId="2DAD05EB" w14:textId="77777777" w:rsidTr="005766C6">
      <w:tc>
        <w:tcPr>
          <w:tcW w:w="1247" w:type="dxa"/>
        </w:tcPr>
        <w:p w14:paraId="2CFB5DDC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Nome:</w:t>
          </w:r>
        </w:p>
      </w:tc>
      <w:tc>
        <w:tcPr>
          <w:tcW w:w="6550" w:type="dxa"/>
          <w:gridSpan w:val="2"/>
        </w:tcPr>
        <w:p w14:paraId="424C7BF7" w14:textId="77777777" w:rsidR="00C66071" w:rsidRPr="00437677" w:rsidRDefault="00C66071" w:rsidP="00C66071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0B3C91AB" w14:textId="77777777" w:rsidR="00C66071" w:rsidRPr="00437677" w:rsidRDefault="00C66071" w:rsidP="00C66071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>Data: ___/___/2020</w:t>
          </w:r>
        </w:p>
      </w:tc>
    </w:tr>
    <w:tr w:rsidR="00C66071" w:rsidRPr="002D74CB" w14:paraId="140B15E2" w14:textId="77777777" w:rsidTr="005766C6">
      <w:tc>
        <w:tcPr>
          <w:tcW w:w="2522" w:type="dxa"/>
          <w:gridSpan w:val="2"/>
        </w:tcPr>
        <w:p w14:paraId="61C8D612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Unidade Escolar:</w:t>
          </w:r>
        </w:p>
      </w:tc>
      <w:tc>
        <w:tcPr>
          <w:tcW w:w="5275" w:type="dxa"/>
        </w:tcPr>
        <w:p w14:paraId="70C9583D" w14:textId="77777777" w:rsidR="00C66071" w:rsidRPr="00437677" w:rsidRDefault="00C66071" w:rsidP="00C66071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774B04FB" w14:textId="77777777" w:rsidR="00C66071" w:rsidRPr="00437677" w:rsidRDefault="00C66071" w:rsidP="00C66071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 xml:space="preserve">Ano: </w:t>
          </w:r>
          <w:r>
            <w:rPr>
              <w:bCs/>
            </w:rPr>
            <w:t>8</w:t>
          </w:r>
          <w:r w:rsidRPr="00437677">
            <w:rPr>
              <w:bCs/>
            </w:rPr>
            <w:t>º</w:t>
          </w:r>
        </w:p>
      </w:tc>
    </w:tr>
    <w:tr w:rsidR="00C66071" w:rsidRPr="002D74CB" w14:paraId="7EBBFBE9" w14:textId="77777777" w:rsidTr="005766C6">
      <w:trPr>
        <w:trHeight w:val="414"/>
      </w:trPr>
      <w:tc>
        <w:tcPr>
          <w:tcW w:w="10490" w:type="dxa"/>
          <w:gridSpan w:val="4"/>
        </w:tcPr>
        <w:p w14:paraId="08534CF5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 xml:space="preserve">Componente Curricular: </w:t>
          </w:r>
          <w:r>
            <w:rPr>
              <w:bCs/>
            </w:rPr>
            <w:t>Ciências da Natureza</w:t>
          </w:r>
        </w:p>
      </w:tc>
    </w:tr>
    <w:tr w:rsidR="00C66071" w:rsidRPr="002D74CB" w14:paraId="7F452748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490" w:type="dxa"/>
          <w:gridSpan w:val="4"/>
        </w:tcPr>
        <w:p w14:paraId="0CBC2098" w14:textId="77777777" w:rsidR="00C66071" w:rsidRPr="00AA1654" w:rsidRDefault="00C66071" w:rsidP="00C66071">
          <w:pPr>
            <w:ind w:left="142"/>
            <w:jc w:val="both"/>
            <w:rPr>
              <w:bCs/>
            </w:rPr>
          </w:pPr>
          <w:r>
            <w:rPr>
              <w:bCs/>
            </w:rPr>
            <w:t>Objeto de</w:t>
          </w:r>
          <w:r w:rsidRPr="008722B4">
            <w:rPr>
              <w:bCs/>
            </w:rPr>
            <w:t xml:space="preserve"> Conhecimento</w:t>
          </w:r>
          <w:r>
            <w:rPr>
              <w:bCs/>
            </w:rPr>
            <w:t xml:space="preserve"> / Conteúdo</w:t>
          </w:r>
          <w:r w:rsidRPr="008722B4">
            <w:rPr>
              <w:bCs/>
            </w:rPr>
            <w:t>:</w:t>
          </w:r>
          <w:r w:rsidRPr="00F760A6">
            <w:rPr>
              <w:bCs/>
            </w:rPr>
            <w:t xml:space="preserve"> </w:t>
          </w:r>
          <w:r w:rsidRPr="00AA1654">
            <w:rPr>
              <w:bCs/>
            </w:rPr>
            <w:t>Fontes, tipos e transformações da energia: Fontes de energia renovável e não-renovável; Transformações da energia e realização de trabalho</w:t>
          </w:r>
        </w:p>
        <w:p w14:paraId="283B1FF1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AA1654">
            <w:rPr>
              <w:bCs/>
            </w:rPr>
            <w:t>Circuitos elétricos: Circuitos elétricos residenciais; Circuitos elétricos em série e paralelos</w:t>
          </w:r>
        </w:p>
      </w:tc>
    </w:tr>
    <w:tr w:rsidR="00C66071" w:rsidRPr="00AA1654" w14:paraId="4BF34BDD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490" w:type="dxa"/>
          <w:gridSpan w:val="4"/>
        </w:tcPr>
        <w:p w14:paraId="1B00E0FB" w14:textId="77777777" w:rsidR="00C66071" w:rsidRPr="00AA1654" w:rsidRDefault="00C66071" w:rsidP="00C66071">
          <w:pPr>
            <w:ind w:left="142"/>
            <w:jc w:val="both"/>
            <w:rPr>
              <w:bCs/>
            </w:rPr>
          </w:pPr>
          <w:r w:rsidRPr="00AA1654">
            <w:rPr>
              <w:bCs/>
            </w:rPr>
            <w:t xml:space="preserve">Habilidades: </w:t>
          </w:r>
          <w:r w:rsidRPr="00AA1654">
            <w:rPr>
              <w:b/>
            </w:rPr>
            <w:t>(EF08CI01-A/B/C)</w:t>
          </w:r>
          <w:r w:rsidRPr="00AA1654">
            <w:rPr>
              <w:bCs/>
            </w:rPr>
            <w:t xml:space="preserve"> Identificar e classificar diferentes fontes, renováveis e não renováveis, bem como tipos de energia utilizados em residências, comunidades ou cidades ao longo da história, demonstrando a matriz energética do Estado de Goiás.</w:t>
          </w:r>
        </w:p>
        <w:p w14:paraId="00BC1EB9" w14:textId="5DC7FC62" w:rsidR="00C66071" w:rsidRPr="00AA1654" w:rsidRDefault="00C66071" w:rsidP="008C3A6F">
          <w:pPr>
            <w:ind w:left="142"/>
            <w:jc w:val="both"/>
            <w:rPr>
              <w:bCs/>
            </w:rPr>
          </w:pPr>
          <w:r w:rsidRPr="00AA1654">
            <w:rPr>
              <w:b/>
            </w:rPr>
            <w:t>(EF08CI02-A)</w:t>
          </w:r>
          <w:r w:rsidRPr="00AA1654">
            <w:rPr>
              <w:bCs/>
            </w:rPr>
            <w:t xml:space="preserve"> Identificar a estrutura atômica, suas partículas e cargas, relacionando-as com a eletricidade.</w:t>
          </w:r>
        </w:p>
      </w:tc>
    </w:tr>
  </w:tbl>
  <w:p w14:paraId="185E56D7" w14:textId="77777777" w:rsidR="00C66071" w:rsidRDefault="00C66071" w:rsidP="00C660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C46"/>
    <w:multiLevelType w:val="hybridMultilevel"/>
    <w:tmpl w:val="B3208276"/>
    <w:lvl w:ilvl="0" w:tplc="950A3B04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C42D36"/>
    <w:multiLevelType w:val="hybridMultilevel"/>
    <w:tmpl w:val="BF0A6704"/>
    <w:lvl w:ilvl="0" w:tplc="915E5DE2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4DD07584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6A5EEB"/>
    <w:multiLevelType w:val="multilevel"/>
    <w:tmpl w:val="2648228C"/>
    <w:styleLink w:val="PadroSEF"/>
    <w:lvl w:ilvl="0">
      <w:start w:val="1"/>
      <w:numFmt w:val="decimalZero"/>
      <w:lvlText w:val="%1."/>
      <w:lvlJc w:val="left"/>
      <w:pPr>
        <w:tabs>
          <w:tab w:val="num" w:pos="567"/>
        </w:tabs>
        <w:ind w:left="142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2">
      <w:start w:val="1"/>
      <w:numFmt w:val="upperRoman"/>
      <w:lvlText w:val="%3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142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B320827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52465E"/>
    <w:multiLevelType w:val="hybridMultilevel"/>
    <w:tmpl w:val="9BEC4288"/>
    <w:lvl w:ilvl="0" w:tplc="A5D8EA58">
      <w:start w:val="1"/>
      <w:numFmt w:val="upperRoman"/>
      <w:lvlText w:val="%1)"/>
      <w:lvlJc w:val="left"/>
      <w:pPr>
        <w:ind w:left="862" w:hanging="360"/>
      </w:pPr>
      <w:rPr>
        <w:rFonts w:ascii="Arial" w:hAnsi="Arial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C3"/>
    <w:rsid w:val="000A0DF1"/>
    <w:rsid w:val="002116FF"/>
    <w:rsid w:val="00240B5F"/>
    <w:rsid w:val="002560C3"/>
    <w:rsid w:val="002D3090"/>
    <w:rsid w:val="00354BA5"/>
    <w:rsid w:val="003601A4"/>
    <w:rsid w:val="00374807"/>
    <w:rsid w:val="00446822"/>
    <w:rsid w:val="004A270C"/>
    <w:rsid w:val="00527D6B"/>
    <w:rsid w:val="005C228C"/>
    <w:rsid w:val="005D6ACF"/>
    <w:rsid w:val="006D2AB2"/>
    <w:rsid w:val="006F2685"/>
    <w:rsid w:val="00701CB4"/>
    <w:rsid w:val="00750FBD"/>
    <w:rsid w:val="00843BE5"/>
    <w:rsid w:val="008C3A6F"/>
    <w:rsid w:val="00970919"/>
    <w:rsid w:val="00970BE4"/>
    <w:rsid w:val="00994C3C"/>
    <w:rsid w:val="009F2839"/>
    <w:rsid w:val="00A41C4A"/>
    <w:rsid w:val="00A50B64"/>
    <w:rsid w:val="00BB5268"/>
    <w:rsid w:val="00C66071"/>
    <w:rsid w:val="00D20240"/>
    <w:rsid w:val="00D26B60"/>
    <w:rsid w:val="00D44A81"/>
    <w:rsid w:val="00D763E7"/>
    <w:rsid w:val="00EE0AA8"/>
    <w:rsid w:val="00F9589C"/>
    <w:rsid w:val="00FA3A2A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500"/>
  <w15:chartTrackingRefBased/>
  <w15:docId w15:val="{A63E6427-01E7-48B9-BCCB-F81815F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FBD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6822"/>
    <w:pPr>
      <w:keepNext/>
      <w:keepLines/>
      <w:ind w:firstLine="142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0FB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0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0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0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0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0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0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0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PadroSEF">
    <w:name w:val="Padrão SEF"/>
    <w:uiPriority w:val="99"/>
    <w:rsid w:val="00994C3C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44682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0FBD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50FB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0FB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har"/>
    <w:uiPriority w:val="11"/>
    <w:rsid w:val="00750FBD"/>
    <w:pPr>
      <w:numPr>
        <w:ilvl w:val="1"/>
      </w:numPr>
      <w:spacing w:after="240" w:line="240" w:lineRule="auto"/>
      <w:ind w:left="142" w:firstLine="425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0F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rsid w:val="00750FBD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rsid w:val="00750FBD"/>
    <w:rPr>
      <w:i/>
      <w:iCs/>
    </w:rPr>
  </w:style>
  <w:style w:type="character" w:styleId="nfaseIntensa">
    <w:name w:val="Intense Emphasis"/>
    <w:basedOn w:val="Fontepargpadro"/>
    <w:uiPriority w:val="21"/>
    <w:rsid w:val="00750FBD"/>
    <w:rPr>
      <w:b/>
      <w:bCs/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50FBD"/>
    <w:pPr>
      <w:ind w:left="2268" w:right="2268" w:firstLine="0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0FBD"/>
    <w:rPr>
      <w:rFonts w:ascii="Times New Roman" w:hAnsi="Times New Roman"/>
      <w:i/>
      <w:iCs/>
      <w:color w:val="404040" w:themeColor="text1" w:themeTint="BF"/>
      <w:sz w:val="20"/>
    </w:rPr>
  </w:style>
  <w:style w:type="character" w:styleId="RefernciaIntensa">
    <w:name w:val="Intense Reference"/>
    <w:aliases w:val="Referência"/>
    <w:basedOn w:val="Fontepargpadro"/>
    <w:uiPriority w:val="32"/>
    <w:rsid w:val="00750FBD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rsid w:val="00750FBD"/>
    <w:rPr>
      <w:b/>
      <w:bCs/>
      <w:smallCaps/>
      <w:spacing w:val="10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750FBD"/>
    <w:pPr>
      <w:ind w:firstLine="0"/>
      <w:contextualSpacing/>
    </w:pPr>
    <w:rPr>
      <w:sz w:val="18"/>
    </w:rPr>
  </w:style>
  <w:style w:type="character" w:styleId="RefernciaSutil">
    <w:name w:val="Subtle Reference"/>
    <w:basedOn w:val="Fontepargpadro"/>
    <w:uiPriority w:val="31"/>
    <w:rsid w:val="00750F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CitaoIntensa">
    <w:name w:val="Intense Quote"/>
    <w:basedOn w:val="Normal"/>
    <w:next w:val="Normal"/>
    <w:link w:val="CitaoIntensaChar"/>
    <w:uiPriority w:val="30"/>
    <w:rsid w:val="00750F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0F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customStyle="1" w:styleId="Itens">
    <w:name w:val="Itens"/>
    <w:basedOn w:val="Normal"/>
    <w:next w:val="Normal"/>
    <w:link w:val="ItensChar"/>
    <w:qFormat/>
    <w:rsid w:val="00FA3A2A"/>
    <w:pPr>
      <w:numPr>
        <w:numId w:val="7"/>
      </w:numPr>
      <w:tabs>
        <w:tab w:val="left" w:pos="567"/>
      </w:tabs>
    </w:pPr>
    <w:rPr>
      <w:rFonts w:cs="Times New Roman"/>
    </w:rPr>
  </w:style>
  <w:style w:type="paragraph" w:customStyle="1" w:styleId="Subitens">
    <w:name w:val="Subitens"/>
    <w:basedOn w:val="Normal"/>
    <w:next w:val="Normal"/>
    <w:link w:val="SubitensChar"/>
    <w:qFormat/>
    <w:rsid w:val="00750FBD"/>
    <w:pPr>
      <w:numPr>
        <w:numId w:val="8"/>
      </w:numPr>
      <w:tabs>
        <w:tab w:val="left" w:pos="567"/>
      </w:tabs>
      <w:ind w:left="142" w:firstLine="0"/>
    </w:pPr>
  </w:style>
  <w:style w:type="character" w:customStyle="1" w:styleId="ItensChar">
    <w:name w:val="Itens Char"/>
    <w:basedOn w:val="Fontepargpadro"/>
    <w:link w:val="Itens"/>
    <w:rsid w:val="00750FBD"/>
    <w:rPr>
      <w:rFonts w:ascii="Times New Roman" w:hAnsi="Times New Roman" w:cs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750FBD"/>
    <w:pPr>
      <w:numPr>
        <w:numId w:val="9"/>
      </w:numPr>
      <w:ind w:left="142" w:firstLine="0"/>
    </w:pPr>
  </w:style>
  <w:style w:type="character" w:customStyle="1" w:styleId="SubitensChar">
    <w:name w:val="Subitens Char"/>
    <w:basedOn w:val="Fontepargpadro"/>
    <w:link w:val="Subitens"/>
    <w:rsid w:val="00750FBD"/>
    <w:rPr>
      <w:rFonts w:ascii="Times New Roman" w:hAnsi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750FBD"/>
    <w:rPr>
      <w:color w:val="FF0000"/>
    </w:rPr>
  </w:style>
  <w:style w:type="character" w:customStyle="1" w:styleId="AlternativasChar">
    <w:name w:val="Alternativas Char"/>
    <w:basedOn w:val="ItensChar"/>
    <w:link w:val="Alternativas"/>
    <w:rsid w:val="00750FBD"/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abaritoChar">
    <w:name w:val="Gabarito Char"/>
    <w:basedOn w:val="Fontepargpadro"/>
    <w:link w:val="Gabarito"/>
    <w:rsid w:val="00750FBD"/>
    <w:rPr>
      <w:rFonts w:ascii="Times New Roman" w:hAnsi="Times New Roman"/>
      <w:color w:val="FF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0FB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0FB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0FB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0F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0F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0FB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rsid w:val="00750FBD"/>
    <w:rPr>
      <w:b/>
      <w:bCs/>
    </w:rPr>
  </w:style>
  <w:style w:type="paragraph" w:styleId="SemEspaamento">
    <w:name w:val="No Spacing"/>
    <w:uiPriority w:val="1"/>
    <w:rsid w:val="00750FBD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0FBD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C6607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07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607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071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C66071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8AD3-8EB4-493C-93EF-FE2D6B7B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Cassiano Balmat</dc:creator>
  <cp:keywords/>
  <dc:description/>
  <cp:lastModifiedBy>MARLENE FARIA</cp:lastModifiedBy>
  <cp:revision>2</cp:revision>
  <dcterms:created xsi:type="dcterms:W3CDTF">2020-03-25T22:23:00Z</dcterms:created>
  <dcterms:modified xsi:type="dcterms:W3CDTF">2020-03-25T22:23:00Z</dcterms:modified>
</cp:coreProperties>
</file>